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6195"/>
      </w:tblGrid>
      <w:tr w:rsidR="00A125EE" w:rsidRPr="0080186D" w14:paraId="645D7555" w14:textId="77777777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59"/>
            </w:tblGrid>
            <w:tr w:rsidR="00A125EE" w:rsidRPr="0080186D" w14:paraId="71635A2D" w14:textId="7777777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14:paraId="46A2DF75" w14:textId="77777777"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1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14:paraId="0B8765EA" w14:textId="77777777"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6B27FA" w14:textId="77777777"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14:paraId="59E98373" w14:textId="77777777"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14:paraId="6E64C6B0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14:paraId="2B274E11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14:paraId="1DEAAD08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14:paraId="4EFCD0FD" w14:textId="450C221A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ponadto 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</w:t>
      </w:r>
      <w:bookmarkStart w:id="0" w:name="_GoBack"/>
      <w:bookmarkEnd w:id="0"/>
      <w:r w:rsidRPr="0080186D">
        <w:rPr>
          <w:rFonts w:ascii="Times New Roman" w:hAnsi="Times New Roman" w:cs="Times New Roman"/>
          <w:sz w:val="20"/>
          <w:szCs w:val="20"/>
        </w:rPr>
        <w:t>.</w:t>
      </w:r>
    </w:p>
    <w:p w14:paraId="53EA65E2" w14:textId="77777777"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14:paraId="62535F20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14:paraId="3375282A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14:paraId="3092AF6C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14:paraId="066085C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14:paraId="3FF7BD1D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14:paraId="1E1EDB60" w14:textId="77777777"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14:paraId="20D2C38D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14:paraId="50A4AB4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14:paraId="584A8479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14:paraId="3DC90813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14:paraId="64478CE1" w14:textId="77777777"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14:paraId="27F4749F" w14:textId="77777777"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14:paraId="682ACC47" w14:textId="77777777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04"/>
        <w:gridCol w:w="3754"/>
        <w:gridCol w:w="3056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budowę oraz zasadę działania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zobojętnienie zgromadzonego na nim ładunku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II. PRĄD ELEKTRYCZNY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obwodu elektrycznego; podaje warunki przepływu prądu elektrycznego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stosuje w obliczeniach związek między natężeniem prądu a ładunkiem i czasem jego przepływu przez poprzeczny przekrój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wyznacza opór przewodnika przez pomiary napięcia na jego końcach oraz natężenia płynącego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III. MAGNETYZM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nesów oraz oddziaływanie magnesów na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tycznej, bada, od czego zależą jej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wskazuje drgające ciało jako źródło fali mechanicznej; posługuje się pojęciami: amplitudy, okresu,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zależność ich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 xml:space="preserve">opisu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 xml:space="preserve">wymienia źródła światła; posługuje się </w:t>
            </w:r>
            <w:r w:rsidRPr="00B02444">
              <w:rPr>
                <w:spacing w:val="-4"/>
                <w:sz w:val="17"/>
                <w:szCs w:val="17"/>
                <w:lang w:val="pl-PL"/>
              </w:rPr>
              <w:lastRenderedPageBreak/>
              <w:t>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pryzmacie; porównuje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obserwuje bieg promieni równoległych do osi optycznej przechodzących przez soczewki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ośrodku </w:t>
            </w:r>
            <w:r w:rsidRPr="0080186D">
              <w:rPr>
                <w:sz w:val="17"/>
                <w:szCs w:val="17"/>
                <w:lang w:val="pl-PL"/>
              </w:rPr>
              <w:t>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 xml:space="preserve">wskazuje prędkość światła jako 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 xml:space="preserve">różnych </w:t>
            </w:r>
            <w:r w:rsidRPr="0005791D">
              <w:rPr>
                <w:sz w:val="17"/>
                <w:szCs w:val="17"/>
                <w:lang w:val="pl-PL"/>
              </w:rPr>
              <w:lastRenderedPageBreak/>
              <w:t>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0167C6A7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14:paraId="053CAC58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14:paraId="03AC5DE0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14:paraId="069A184D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14:paraId="60A305D5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14:paraId="6923AC2A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890C01F" w14:textId="77777777" w:rsidR="004F6C5C" w:rsidRPr="00AA4615" w:rsidRDefault="004F6C5C" w:rsidP="004F6C5C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14:paraId="04271838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14:paraId="6AD8BD3C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14:paraId="17E09D09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14:paraId="1EF52E06" w14:textId="77777777" w:rsidR="004F6C5C" w:rsidRPr="004F6C5C" w:rsidRDefault="004F6C5C" w:rsidP="004F6C5C">
      <w:pPr>
        <w:pStyle w:val="tekstglowny"/>
        <w:rPr>
          <w:rFonts w:ascii="Times New Roman" w:hAnsi="Times New Roman" w:cs="Times New Roman"/>
          <w:bCs/>
          <w:sz w:val="20"/>
          <w:szCs w:val="20"/>
        </w:rPr>
      </w:pPr>
      <w:r w:rsidRPr="004F6C5C">
        <w:rPr>
          <w:rFonts w:ascii="Times New Roman" w:hAnsi="Times New Roman" w:cs="Times New Roman"/>
          <w:bCs/>
          <w:sz w:val="20"/>
          <w:szCs w:val="20"/>
        </w:rPr>
        <w:t>Zgodne z zapisami w </w:t>
      </w:r>
      <w:r w:rsidRPr="004F6C5C">
        <w:rPr>
          <w:rFonts w:ascii="Times New Roman" w:hAnsi="Times New Roman" w:cs="Times New Roman"/>
          <w:b/>
          <w:bCs/>
          <w:sz w:val="20"/>
          <w:szCs w:val="20"/>
        </w:rPr>
        <w:t>statucie</w:t>
      </w:r>
      <w:r w:rsidRPr="004F6C5C">
        <w:rPr>
          <w:rFonts w:ascii="Times New Roman" w:hAnsi="Times New Roman" w:cs="Times New Roman"/>
          <w:bCs/>
          <w:sz w:val="20"/>
          <w:szCs w:val="20"/>
        </w:rPr>
        <w:t xml:space="preserve"> szkoły. </w:t>
      </w:r>
    </w:p>
    <w:p w14:paraId="3EF36828" w14:textId="77777777" w:rsidR="004F6C5C" w:rsidRPr="00AA46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>
        <w:rPr>
          <w:rFonts w:ascii="Times New Roman" w:hAnsi="Times New Roman" w:cs="Times New Roman"/>
          <w:sz w:val="20"/>
          <w:szCs w:val="20"/>
        </w:rPr>
        <w:t xml:space="preserve"> ustnie.</w:t>
      </w:r>
    </w:p>
    <w:p w14:paraId="1AEFA76B" w14:textId="77777777"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10"/>
      <w:footerReference w:type="default" r:id="rId11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87C8B" w14:textId="77777777" w:rsidR="000C1036" w:rsidRDefault="000C1036" w:rsidP="005019FC">
      <w:r>
        <w:separator/>
      </w:r>
    </w:p>
  </w:endnote>
  <w:endnote w:type="continuationSeparator" w:id="0">
    <w:p w14:paraId="3B98C454" w14:textId="77777777" w:rsidR="000C1036" w:rsidRDefault="000C1036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0011" w14:textId="77777777"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5E14" w14:textId="77777777"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14:paraId="5EE0FFB4" w14:textId="77777777" w:rsidR="00BD0596" w:rsidRPr="00A65C11" w:rsidRDefault="000C1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DF25A" w14:textId="77777777" w:rsidR="000C1036" w:rsidRDefault="000C1036" w:rsidP="005019FC">
      <w:r>
        <w:separator/>
      </w:r>
    </w:p>
  </w:footnote>
  <w:footnote w:type="continuationSeparator" w:id="0">
    <w:p w14:paraId="0AE99FA7" w14:textId="77777777" w:rsidR="000C1036" w:rsidRDefault="000C1036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493E" w14:textId="5DF325E0" w:rsidR="0080186D" w:rsidRDefault="0080186D">
    <w:pPr>
      <w:pStyle w:val="Nagwek"/>
    </w:pPr>
    <w:r w:rsidRPr="005019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82D0D4" wp14:editId="4A920B90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7B0F5375" w14:textId="77777777"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2D0D4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    <v:textbox inset=",0,,0">
                <w:txbxContent>
                  <w:p w14:paraId="7B0F5375" w14:textId="77777777"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4145" w14:textId="77777777" w:rsidR="00BD0596" w:rsidRDefault="00F46D1F">
    <w:pPr>
      <w:pStyle w:val="Nagwek"/>
    </w:pPr>
    <w:r w:rsidRPr="00BD059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009E88AA" w14:textId="77777777"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CAE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oIBw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" fillcolor="#002060" stroked="f">
              <v:textbox inset=",0,,0">
                <w:txbxContent>
                  <w:p w14:paraId="009E88AA" w14:textId="77777777"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1FDF435B" w14:textId="77777777"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5327AC69" w14:textId="77777777" w:rsidR="00BD0596" w:rsidRPr="00A65C11" w:rsidRDefault="000C103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F10D2" id="Pole tekstowe 473" o:spid="_x0000_s1028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kBDA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" fillcolor="#b1c903" stroked="f">
              <v:textbox inset=",0,,0">
                <w:txbxContent>
                  <w:p w14:paraId="1FDF435B" w14:textId="77777777"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5327AC69" w14:textId="77777777" w:rsidR="00BD0596" w:rsidRPr="00A65C11" w:rsidRDefault="000C103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BE3DD" w14:textId="77777777" w:rsidR="00BD0596" w:rsidRDefault="000C10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3ED"/>
    <w:rsid w:val="000500BA"/>
    <w:rsid w:val="0005791D"/>
    <w:rsid w:val="000B39E2"/>
    <w:rsid w:val="000C1036"/>
    <w:rsid w:val="00173924"/>
    <w:rsid w:val="00222A6F"/>
    <w:rsid w:val="002E66C0"/>
    <w:rsid w:val="003A094A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9554E0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AD54A-B646-46B9-8D0E-ECCBB149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5274</Words>
  <Characters>31645</Characters>
  <Application>Microsoft Office Word</Application>
  <DocSecurity>0</DocSecurity>
  <Lines>263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Daniel</cp:lastModifiedBy>
  <cp:revision>2</cp:revision>
  <dcterms:created xsi:type="dcterms:W3CDTF">2018-11-15T18:01:00Z</dcterms:created>
  <dcterms:modified xsi:type="dcterms:W3CDTF">2018-11-15T18:01:00Z</dcterms:modified>
</cp:coreProperties>
</file>